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88" w:rsidRPr="00A60788" w:rsidRDefault="00A60788" w:rsidP="00A60788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A60788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A60788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A60788">
        <w:rPr>
          <w:b/>
          <w:bCs/>
          <w:sz w:val="28"/>
          <w:szCs w:val="28"/>
          <w:lang w:eastAsia="en-US"/>
        </w:rPr>
        <w:t>»</w:t>
      </w:r>
    </w:p>
    <w:p w:rsidR="00A60788" w:rsidRPr="00A60788" w:rsidRDefault="00A60788" w:rsidP="00A60788">
      <w:pPr>
        <w:keepNext/>
        <w:keepLines/>
        <w:spacing w:line="276" w:lineRule="auto"/>
        <w:jc w:val="center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A60788">
        <w:rPr>
          <w:rFonts w:eastAsia="Calibri"/>
          <w:b/>
          <w:color w:val="548DD4"/>
          <w:sz w:val="28"/>
          <w:szCs w:val="28"/>
          <w:lang w:eastAsia="en-US"/>
        </w:rPr>
        <w:t xml:space="preserve"> КОД 2.1.3 ТЕХНОЛОГИЧЕСКОЕ ПРИСОЕДИНЕНИЕ К ЭЛЕКТРИЧЕСКИМ СЕТЯМ СЕТЕВОЙ ОРГАНИЗАЦИИ</w:t>
      </w:r>
    </w:p>
    <w:p w:rsidR="00A60788" w:rsidRPr="00A60788" w:rsidRDefault="00A60788" w:rsidP="00A60788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proofErr w:type="spellStart"/>
      <w:r w:rsidRPr="00A60788">
        <w:rPr>
          <w:rFonts w:eastAsia="Calibri"/>
          <w:b/>
          <w:color w:val="548DD4"/>
          <w:sz w:val="28"/>
          <w:szCs w:val="28"/>
          <w:lang w:eastAsia="en-US"/>
        </w:rPr>
        <w:t>энергопринимающих</w:t>
      </w:r>
      <w:proofErr w:type="spellEnd"/>
      <w:r w:rsidRPr="00A60788">
        <w:rPr>
          <w:rFonts w:eastAsia="Calibri"/>
          <w:b/>
          <w:color w:val="548DD4"/>
          <w:sz w:val="28"/>
          <w:szCs w:val="28"/>
          <w:lang w:eastAsia="en-US"/>
        </w:rPr>
        <w:t xml:space="preserve"> устройств юридических лиц и индивидуальных предпринимателей</w:t>
      </w:r>
      <w:r w:rsidRPr="00A60788">
        <w:rPr>
          <w:rFonts w:eastAsia="Calibri"/>
          <w:b/>
          <w:color w:val="548DD4"/>
          <w:sz w:val="28"/>
          <w:szCs w:val="28"/>
          <w:lang w:eastAsia="en-US"/>
        </w:rPr>
        <w:br/>
        <w:t>с максимальной мощностью свыше 150 кВт до 670 кВт</w:t>
      </w:r>
    </w:p>
    <w:p w:rsidR="00A60788" w:rsidRPr="00A60788" w:rsidRDefault="00A60788" w:rsidP="00A60788">
      <w:pPr>
        <w:jc w:val="both"/>
        <w:rPr>
          <w:rFonts w:eastAsia="Calibri"/>
          <w:b/>
          <w:color w:val="548DD4"/>
          <w:sz w:val="28"/>
          <w:szCs w:val="28"/>
          <w:lang w:eastAsia="en-US"/>
        </w:rPr>
      </w:pPr>
    </w:p>
    <w:p w:rsidR="00A60788" w:rsidRPr="00A60788" w:rsidRDefault="00A60788" w:rsidP="00A60788">
      <w:pPr>
        <w:jc w:val="both"/>
        <w:rPr>
          <w:rFonts w:eastAsia="Calibri"/>
          <w:sz w:val="28"/>
          <w:szCs w:val="28"/>
          <w:lang w:eastAsia="en-US"/>
        </w:rPr>
      </w:pPr>
      <w:r w:rsidRPr="00A60788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A60788">
        <w:rPr>
          <w:rFonts w:eastAsia="Calibri"/>
          <w:sz w:val="28"/>
          <w:szCs w:val="28"/>
          <w:lang w:eastAsia="en-US"/>
        </w:rPr>
        <w:t xml:space="preserve">юридическое лицо или индивидуальный предприниматель в целях технологического присоединения (далее - ТП) по одному источнику энергоснабжения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устройств, максимальная мощность которых составляет свыше 150 кВт и менее 670 кВт (с учетом ранее присоединенных в данной точке присоединения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устройств)</w:t>
      </w:r>
    </w:p>
    <w:p w:rsidR="00A60788" w:rsidRPr="00A60788" w:rsidRDefault="00A60788" w:rsidP="00A607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60788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A60788">
        <w:rPr>
          <w:rFonts w:eastAsia="Calibri"/>
          <w:b/>
          <w:sz w:val="28"/>
          <w:szCs w:val="28"/>
          <w:lang w:eastAsia="en-US"/>
        </w:rPr>
        <w:t xml:space="preserve"> </w:t>
      </w:r>
      <w:r w:rsidRPr="00A60788">
        <w:rPr>
          <w:rFonts w:eastAsia="Calibri"/>
          <w:sz w:val="28"/>
          <w:szCs w:val="28"/>
          <w:lang w:eastAsia="en-US"/>
        </w:rPr>
        <w:t xml:space="preserve">Размер платы за технологическое присоединение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 с максимальной мощностью свыше 150 кВт и менее 670 к</w:t>
      </w:r>
      <w:proofErr w:type="gramStart"/>
      <w:r w:rsidRPr="00A60788">
        <w:rPr>
          <w:rFonts w:eastAsia="Calibri"/>
          <w:sz w:val="28"/>
          <w:szCs w:val="28"/>
          <w:lang w:eastAsia="en-US"/>
        </w:rPr>
        <w:t>Вт вкл</w:t>
      </w:r>
      <w:proofErr w:type="gramEnd"/>
      <w:r w:rsidRPr="00A60788">
        <w:rPr>
          <w:rFonts w:eastAsia="Calibri"/>
          <w:sz w:val="28"/>
          <w:szCs w:val="28"/>
          <w:lang w:eastAsia="en-US"/>
        </w:rPr>
        <w:t xml:space="preserve">ючительно рассчитывается исходя из величины максимальной мощности присоединяемых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тарифов.</w:t>
      </w:r>
    </w:p>
    <w:p w:rsidR="00A60788" w:rsidRPr="00A60788" w:rsidRDefault="00A60788" w:rsidP="00A607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0788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A60788">
        <w:rPr>
          <w:rFonts w:eastAsia="Calibri"/>
          <w:sz w:val="28"/>
          <w:szCs w:val="28"/>
          <w:lang w:eastAsia="en-US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устройств.</w:t>
      </w:r>
      <w:proofErr w:type="gramEnd"/>
    </w:p>
    <w:p w:rsidR="00A60788" w:rsidRPr="00A60788" w:rsidRDefault="00A60788" w:rsidP="00A607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60788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A6078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60788">
        <w:rPr>
          <w:rFonts w:eastAsia="Calibri"/>
          <w:sz w:val="28"/>
          <w:szCs w:val="28"/>
          <w:lang w:eastAsia="en-US"/>
        </w:rPr>
        <w:t>технологическое</w:t>
      </w:r>
      <w:proofErr w:type="gramEnd"/>
      <w:r w:rsidRPr="00A60788">
        <w:rPr>
          <w:rFonts w:eastAsia="Calibri"/>
          <w:sz w:val="28"/>
          <w:szCs w:val="28"/>
          <w:lang w:eastAsia="en-US"/>
        </w:rPr>
        <w:t xml:space="preserve"> присоединения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 Заявителя.</w:t>
      </w:r>
    </w:p>
    <w:p w:rsidR="00A60788" w:rsidRPr="00A60788" w:rsidRDefault="00A60788" w:rsidP="00A6078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60788">
        <w:rPr>
          <w:rFonts w:eastAsia="Calibri"/>
          <w:b/>
          <w:color w:val="548DD4"/>
          <w:sz w:val="28"/>
          <w:szCs w:val="28"/>
          <w:lang w:eastAsia="en-US"/>
        </w:rPr>
        <w:t xml:space="preserve">ОБЩИЙ СРОК ОКАЗАНИЯ УСЛУГИ (ПРОЦЕССА): </w:t>
      </w:r>
      <w:proofErr w:type="gramStart"/>
      <w:r w:rsidRPr="00A60788">
        <w:rPr>
          <w:rFonts w:eastAsia="Calibri"/>
          <w:sz w:val="28"/>
          <w:szCs w:val="28"/>
          <w:lang w:eastAsia="en-US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кВ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  <w:proofErr w:type="gramEnd"/>
    </w:p>
    <w:p w:rsidR="00A60788" w:rsidRPr="00A60788" w:rsidRDefault="00A60788" w:rsidP="00A6078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A60788">
        <w:rPr>
          <w:rFonts w:eastAsia="Calibri"/>
          <w:sz w:val="28"/>
          <w:szCs w:val="28"/>
          <w:lang w:eastAsia="en-US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</w:t>
      </w:r>
      <w:r w:rsidRPr="00A60788">
        <w:rPr>
          <w:rFonts w:eastAsia="Calibri"/>
          <w:sz w:val="28"/>
          <w:szCs w:val="28"/>
          <w:lang w:eastAsia="en-US"/>
        </w:rPr>
        <w:lastRenderedPageBreak/>
        <w:t xml:space="preserve">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A60788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A60788">
        <w:rPr>
          <w:rFonts w:eastAsia="Calibri"/>
          <w:sz w:val="28"/>
          <w:szCs w:val="28"/>
          <w:lang w:eastAsia="en-US"/>
        </w:rPr>
        <w:t xml:space="preserve"> устройств и (или) объектов электроэнергетики - </w:t>
      </w:r>
      <w:r w:rsidRPr="00A60788">
        <w:rPr>
          <w:rFonts w:eastAsia="Calibri"/>
          <w:b/>
          <w:sz w:val="28"/>
          <w:szCs w:val="28"/>
          <w:lang w:eastAsia="en-US"/>
        </w:rPr>
        <w:t>4 месяца</w:t>
      </w:r>
      <w:r w:rsidRPr="00A60788">
        <w:rPr>
          <w:rFonts w:eastAsia="Calibri"/>
          <w:sz w:val="28"/>
          <w:szCs w:val="28"/>
          <w:lang w:eastAsia="en-US"/>
        </w:rPr>
        <w:t xml:space="preserve"> с даты</w:t>
      </w:r>
      <w:proofErr w:type="gramEnd"/>
      <w:r w:rsidRPr="00A60788">
        <w:rPr>
          <w:rFonts w:eastAsia="Calibri"/>
          <w:sz w:val="28"/>
          <w:szCs w:val="28"/>
          <w:lang w:eastAsia="en-US"/>
        </w:rPr>
        <w:t xml:space="preserve"> заключения договора;</w:t>
      </w:r>
    </w:p>
    <w:p w:rsidR="00A60788" w:rsidRPr="00A60788" w:rsidRDefault="00A60788" w:rsidP="00A6078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60788">
        <w:rPr>
          <w:rFonts w:eastAsia="Calibri"/>
          <w:sz w:val="28"/>
          <w:szCs w:val="28"/>
          <w:lang w:eastAsia="en-US"/>
        </w:rPr>
        <w:t xml:space="preserve">в иных случаях – </w:t>
      </w:r>
      <w:r w:rsidRPr="00A60788">
        <w:rPr>
          <w:rFonts w:eastAsia="Calibri"/>
          <w:b/>
          <w:sz w:val="28"/>
          <w:szCs w:val="28"/>
          <w:lang w:eastAsia="en-US"/>
        </w:rPr>
        <w:t>1 год</w:t>
      </w:r>
      <w:r w:rsidRPr="00A6078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60788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A60788">
        <w:rPr>
          <w:rFonts w:eastAsia="Calibri"/>
          <w:sz w:val="28"/>
          <w:szCs w:val="28"/>
          <w:lang w:eastAsia="en-US"/>
        </w:rPr>
        <w:t xml:space="preserve"> договора (если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A60788" w:rsidRPr="00A60788" w:rsidRDefault="00A60788" w:rsidP="00A60788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A60788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888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1463"/>
        <w:gridCol w:w="1402"/>
        <w:gridCol w:w="1682"/>
        <w:gridCol w:w="1493"/>
        <w:gridCol w:w="1164"/>
        <w:gridCol w:w="1834"/>
      </w:tblGrid>
      <w:tr w:rsidR="00A60788" w:rsidRPr="00A60788" w:rsidTr="009808A5">
        <w:trPr>
          <w:tblHeader/>
        </w:trPr>
        <w:tc>
          <w:tcPr>
            <w:tcW w:w="170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A60788" w:rsidRPr="00A60788" w:rsidRDefault="00A60788" w:rsidP="00A6078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60788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782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60788" w:rsidRPr="00A60788" w:rsidRDefault="00A60788" w:rsidP="00A6078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60788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74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60788" w:rsidRPr="00A60788" w:rsidRDefault="00A60788" w:rsidP="00A6078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60788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899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60788" w:rsidRPr="00A60788" w:rsidRDefault="00A60788" w:rsidP="00A6078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60788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9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60788" w:rsidRPr="00A60788" w:rsidRDefault="00A60788" w:rsidP="00A6078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60788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22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60788" w:rsidRPr="00A60788" w:rsidRDefault="00A60788" w:rsidP="00A6078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60788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8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A60788" w:rsidRPr="00A60788" w:rsidRDefault="00A60788" w:rsidP="00A6078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60788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A60788" w:rsidRPr="00A60788" w:rsidTr="009808A5">
        <w:tc>
          <w:tcPr>
            <w:tcW w:w="170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782" w:type="pct"/>
            <w:vMerge w:val="restar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1.1.</w:t>
            </w:r>
            <w:r w:rsidRPr="00A60788">
              <w:rPr>
                <w:sz w:val="20"/>
                <w:szCs w:val="20"/>
              </w:rPr>
              <w:t xml:space="preserve"> Заявитель подает заявку на технологическое присоединение;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Очное обращение заявителя с заявкой в офис обслуживания потребителей,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письменное обращение с заявкой заказным письмом с уведомлением</w:t>
            </w:r>
          </w:p>
        </w:tc>
        <w:tc>
          <w:tcPr>
            <w:tcW w:w="622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Не ограничен</w:t>
            </w:r>
          </w:p>
        </w:tc>
        <w:tc>
          <w:tcPr>
            <w:tcW w:w="980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rPr>
                <w:sz w:val="20"/>
                <w:szCs w:val="20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Пункты  8, 9, 10,12, 14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  <w:r w:rsidRPr="00A6078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A60788" w:rsidRPr="00A60788" w:rsidTr="009808A5">
        <w:trPr>
          <w:trHeight w:val="86"/>
        </w:trPr>
        <w:tc>
          <w:tcPr>
            <w:tcW w:w="170" w:type="pct"/>
            <w:vMerge/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89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1.2</w:t>
            </w:r>
            <w:r w:rsidRPr="00A60788">
              <w:rPr>
                <w:sz w:val="20"/>
                <w:szCs w:val="20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8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sz w:val="20"/>
                <w:szCs w:val="20"/>
              </w:rPr>
              <w:t>6 рабочих дней после получения заявки</w:t>
            </w:r>
          </w:p>
        </w:tc>
        <w:tc>
          <w:tcPr>
            <w:tcW w:w="980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86"/>
        </w:trPr>
        <w:tc>
          <w:tcPr>
            <w:tcW w:w="17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2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2.1</w:t>
            </w:r>
            <w:r w:rsidRPr="00A60788">
              <w:rPr>
                <w:sz w:val="20"/>
                <w:szCs w:val="20"/>
              </w:rPr>
              <w:t xml:space="preserve">. Направление (выдача при очном посещении офиса обслуживания) сетевой организацией проекта договора об осуществлении технологического присоединения  </w:t>
            </w:r>
            <w:r w:rsidRPr="00A60788">
              <w:rPr>
                <w:sz w:val="20"/>
                <w:szCs w:val="20"/>
              </w:rPr>
              <w:lastRenderedPageBreak/>
              <w:t>с  техническими условиями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lastRenderedPageBreak/>
              <w:t>Письменная форма проекта договора, подписанного со стороны сетевой организации, направляется способом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, позволяющим подтвердить факт получения, 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или выдача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lastRenderedPageBreak/>
              <w:t xml:space="preserve">15 дней со дня  получения заявки; 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 xml:space="preserve">В случае  отсутствия сведений  (документов) 30 дней </w:t>
            </w:r>
            <w:proofErr w:type="gramStart"/>
            <w:r w:rsidRPr="00A60788">
              <w:rPr>
                <w:sz w:val="20"/>
                <w:szCs w:val="20"/>
              </w:rPr>
              <w:t>с даты  получения</w:t>
            </w:r>
            <w:proofErr w:type="gramEnd"/>
            <w:r w:rsidRPr="00A60788">
              <w:rPr>
                <w:sz w:val="20"/>
                <w:szCs w:val="20"/>
              </w:rPr>
              <w:t xml:space="preserve"> </w:t>
            </w:r>
            <w:r w:rsidRPr="00A60788">
              <w:rPr>
                <w:sz w:val="20"/>
                <w:szCs w:val="20"/>
              </w:rPr>
              <w:lastRenderedPageBreak/>
              <w:t>недостающих сведений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86"/>
        </w:trPr>
        <w:tc>
          <w:tcPr>
            <w:tcW w:w="170" w:type="pct"/>
            <w:vMerge/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2.2</w:t>
            </w:r>
            <w:r w:rsidRPr="00A60788">
              <w:rPr>
                <w:sz w:val="20"/>
                <w:szCs w:val="20"/>
              </w:rPr>
              <w:t>. П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8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30 дней со  дня получения заявителем проекта договора.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 xml:space="preserve">В случае </w:t>
            </w:r>
            <w:proofErr w:type="spellStart"/>
            <w:r w:rsidRPr="00A60788">
              <w:rPr>
                <w:sz w:val="20"/>
                <w:szCs w:val="20"/>
              </w:rPr>
              <w:t>ненаправления</w:t>
            </w:r>
            <w:proofErr w:type="spellEnd"/>
            <w:r w:rsidRPr="00A60788">
              <w:rPr>
                <w:sz w:val="20"/>
                <w:szCs w:val="20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80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86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 xml:space="preserve">2.3 </w:t>
            </w:r>
            <w:r w:rsidRPr="00A60788">
              <w:rPr>
                <w:sz w:val="20"/>
                <w:szCs w:val="20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 xml:space="preserve">5 рабочих дней </w:t>
            </w:r>
            <w:proofErr w:type="gramStart"/>
            <w:r w:rsidRPr="00A60788">
              <w:rPr>
                <w:sz w:val="20"/>
                <w:szCs w:val="20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A60788">
              <w:rPr>
                <w:sz w:val="20"/>
                <w:szCs w:val="20"/>
              </w:rPr>
              <w:t xml:space="preserve"> ТП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86"/>
        </w:trPr>
        <w:tc>
          <w:tcPr>
            <w:tcW w:w="170" w:type="pct"/>
            <w:vMerge/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2.4</w:t>
            </w:r>
            <w:r w:rsidRPr="00A60788">
              <w:rPr>
                <w:sz w:val="20"/>
                <w:szCs w:val="20"/>
              </w:rPr>
              <w:t>. 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Сетевая организация направляет в адрес субъекта розничного рынка, 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8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В письменной или электронной форме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 xml:space="preserve">не позднее 2 рабочих дней </w:t>
            </w:r>
            <w:proofErr w:type="gramStart"/>
            <w:r w:rsidRPr="00A60788">
              <w:rPr>
                <w:sz w:val="20"/>
                <w:szCs w:val="20"/>
              </w:rPr>
              <w:t>с даты заключен</w:t>
            </w:r>
            <w:r w:rsidRPr="00A60788">
              <w:rPr>
                <w:sz w:val="20"/>
                <w:szCs w:val="20"/>
              </w:rPr>
              <w:lastRenderedPageBreak/>
              <w:t>ия</w:t>
            </w:r>
            <w:proofErr w:type="gramEnd"/>
            <w:r w:rsidRPr="00A60788"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980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электрической энергии</w:t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lastRenderedPageBreak/>
              <w:t>3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8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3.1</w:t>
            </w:r>
            <w:r w:rsidRPr="00A60788">
              <w:rPr>
                <w:sz w:val="20"/>
                <w:szCs w:val="20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/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3.2</w:t>
            </w:r>
            <w:r w:rsidRPr="00A60788">
              <w:rPr>
                <w:sz w:val="20"/>
                <w:szCs w:val="20"/>
              </w:rPr>
              <w:t>. 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8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3.3</w:t>
            </w:r>
            <w:r w:rsidRPr="00A60788">
              <w:rPr>
                <w:sz w:val="20"/>
                <w:szCs w:val="20"/>
              </w:rPr>
              <w:t>. 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/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3.4</w:t>
            </w:r>
            <w:r w:rsidRPr="00A60788">
              <w:rPr>
                <w:sz w:val="20"/>
                <w:szCs w:val="20"/>
              </w:rPr>
              <w:t>.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Письменное уведомление о выполнении технических условий с приложением документов: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а) копии сертификатов соответствия на электрооборудование (если оборудование подлежит обязательной сертификации) и (или) сопроводительной 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технической документации (технические паспорта оборудования), содержащей сведения о сертификации;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г) нормальные (временные нормальные) схемы электрических соединений объекта электроэнергетики</w:t>
            </w:r>
            <w:r w:rsidRPr="00A6078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22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После выполнения технических условий</w:t>
            </w:r>
          </w:p>
        </w:tc>
        <w:tc>
          <w:tcPr>
            <w:tcW w:w="980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lastRenderedPageBreak/>
              <w:t>4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788">
              <w:rPr>
                <w:sz w:val="20"/>
                <w:szCs w:val="20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8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4.1.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Pr="00A60788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) электроустановки</w:t>
            </w: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Пункты 83-89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/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10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кВ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включительно 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4.2.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</w:t>
            </w:r>
          </w:p>
        </w:tc>
        <w:tc>
          <w:tcPr>
            <w:tcW w:w="798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2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80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Пункты 18(1), 18(2)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8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4.3.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9" w:history="1">
              <w:r w:rsidRPr="00A60788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Не позднее 3 рабочих дней после получения </w:t>
            </w:r>
            <w:proofErr w:type="gramStart"/>
            <w:r w:rsidRPr="00A60788">
              <w:rPr>
                <w:rFonts w:eastAsia="Calibri"/>
                <w:sz w:val="20"/>
                <w:szCs w:val="20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A6078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Пункты 89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/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4.4.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Прием в эксплуатацию прибора учета.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8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r w:rsidRPr="00A60788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22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день проведения проверки</w:t>
            </w:r>
          </w:p>
        </w:tc>
        <w:tc>
          <w:tcPr>
            <w:tcW w:w="980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sz w:val="20"/>
                <w:szCs w:val="20"/>
              </w:rPr>
              <w:t>Раздел Х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0788">
              <w:rPr>
                <w:sz w:val="20"/>
                <w:szCs w:val="20"/>
              </w:rPr>
              <w:t>Основ функционирования розничных рынков электрической энергии</w:t>
            </w:r>
            <w:r w:rsidRPr="00A60788">
              <w:rPr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8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4.5.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Акт о выполнении технических условий в письменной форме направляется  </w:t>
            </w:r>
            <w:r w:rsidRPr="00A60788">
              <w:rPr>
                <w:sz w:val="20"/>
                <w:szCs w:val="20"/>
              </w:rPr>
              <w:t>способом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3-дневный срок после проведения осмотра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 87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/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 xml:space="preserve">4.4. 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 w:rsidRPr="00A60788">
              <w:rPr>
                <w:sz w:val="20"/>
                <w:szCs w:val="20"/>
              </w:rPr>
              <w:t>способом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22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80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5.1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270"/>
        </w:trPr>
        <w:tc>
          <w:tcPr>
            <w:tcW w:w="170" w:type="pct"/>
            <w:vMerge/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5.2.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Оформление сетевой организации и направление (выдача) заявителю: 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Акта об осуществлении технологического 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присоединения;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Акта разграничения границ балансовой принадлежности сторон;</w:t>
            </w:r>
          </w:p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Акт разграничения эксплуатационной ответственности сторон</w:t>
            </w:r>
          </w:p>
        </w:tc>
        <w:tc>
          <w:tcPr>
            <w:tcW w:w="798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Подписанные со стороны сетевой организации Акты  в письменной форме направляются </w:t>
            </w:r>
            <w:r w:rsidRPr="00A60788">
              <w:rPr>
                <w:sz w:val="20"/>
                <w:szCs w:val="20"/>
              </w:rPr>
              <w:t>способом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, позволяющим 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подтвердить факт получения, или выдаются заявителю в офисе обслуживания потребителей</w:t>
            </w:r>
          </w:p>
        </w:tc>
        <w:tc>
          <w:tcPr>
            <w:tcW w:w="622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lastRenderedPageBreak/>
              <w:t>В соответствии с условиями договора</w:t>
            </w:r>
          </w:p>
        </w:tc>
        <w:tc>
          <w:tcPr>
            <w:tcW w:w="980" w:type="pct"/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A60788" w:rsidRPr="00A60788" w:rsidTr="009808A5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9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b/>
                <w:bCs/>
                <w:color w:val="548DD4"/>
                <w:sz w:val="20"/>
                <w:szCs w:val="20"/>
              </w:rPr>
              <w:t>5.3.</w:t>
            </w: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энергосбытовую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организацию 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60788" w:rsidRPr="00A60788" w:rsidRDefault="00A60788" w:rsidP="00A607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 w:rsidRPr="00A60788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A60788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A60788" w:rsidRPr="00A60788" w:rsidRDefault="00A60788" w:rsidP="00A60788">
      <w:pPr>
        <w:jc w:val="both"/>
        <w:outlineLvl w:val="0"/>
        <w:rPr>
          <w:rFonts w:eastAsia="Calibri"/>
          <w:b/>
          <w:color w:val="548DD4"/>
          <w:sz w:val="20"/>
          <w:szCs w:val="20"/>
          <w:lang w:eastAsia="en-US"/>
        </w:rPr>
      </w:pPr>
    </w:p>
    <w:p w:rsidR="00A60788" w:rsidRPr="00A60788" w:rsidRDefault="00A60788" w:rsidP="00A607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60788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A60788">
        <w:rPr>
          <w:rFonts w:eastAsia="Calibri"/>
          <w:sz w:val="28"/>
          <w:szCs w:val="28"/>
          <w:lang w:eastAsia="en-US"/>
        </w:rPr>
        <w:t xml:space="preserve"> </w:t>
      </w:r>
    </w:p>
    <w:p w:rsidR="00A60788" w:rsidRPr="00A60788" w:rsidRDefault="00A60788" w:rsidP="00A60788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A60788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A60788">
        <w:rPr>
          <w:i/>
          <w:sz w:val="28"/>
          <w:szCs w:val="28"/>
        </w:rPr>
        <w:t>АО «</w:t>
      </w:r>
      <w:proofErr w:type="spellStart"/>
      <w:r w:rsidRPr="00A60788">
        <w:rPr>
          <w:i/>
          <w:sz w:val="28"/>
          <w:szCs w:val="28"/>
        </w:rPr>
        <w:t>Чеченэнерго</w:t>
      </w:r>
      <w:proofErr w:type="spellEnd"/>
      <w:r w:rsidRPr="00A60788">
        <w:rPr>
          <w:i/>
          <w:sz w:val="28"/>
          <w:szCs w:val="28"/>
        </w:rPr>
        <w:t>»</w:t>
      </w:r>
      <w:r w:rsidRPr="00A60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60788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A60788" w:rsidRPr="00A60788" w:rsidRDefault="00A60788" w:rsidP="00A607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88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A60788" w:rsidRPr="00A60788" w:rsidRDefault="00A60788" w:rsidP="00A6078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A60788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11" w:history="1">
        <w:r w:rsidRPr="00A6078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A60788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6078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A60788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A6078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A60788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6078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A60788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A60788" w:rsidRDefault="00B5685B" w:rsidP="00A60788"/>
    <w:sectPr w:rsidR="00B5685B" w:rsidRPr="00A6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6B" w:rsidRDefault="0036706B" w:rsidP="00AF0503">
      <w:r>
        <w:separator/>
      </w:r>
    </w:p>
  </w:endnote>
  <w:endnote w:type="continuationSeparator" w:id="0">
    <w:p w:rsidR="0036706B" w:rsidRDefault="0036706B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6B" w:rsidRDefault="0036706B" w:rsidP="00AF0503">
      <w:r>
        <w:separator/>
      </w:r>
    </w:p>
  </w:footnote>
  <w:footnote w:type="continuationSeparator" w:id="0">
    <w:p w:rsidR="0036706B" w:rsidRDefault="0036706B" w:rsidP="00AF0503">
      <w:r>
        <w:continuationSeparator/>
      </w:r>
    </w:p>
  </w:footnote>
  <w:footnote w:id="1">
    <w:p w:rsidR="00A60788" w:rsidRPr="00A15D55" w:rsidRDefault="00A60788" w:rsidP="00A60788">
      <w:pPr>
        <w:pStyle w:val="a3"/>
        <w:rPr>
          <w:sz w:val="28"/>
          <w:szCs w:val="28"/>
        </w:rPr>
      </w:pPr>
      <w:r w:rsidRPr="0018262F">
        <w:rPr>
          <w:rStyle w:val="a5"/>
          <w:sz w:val="24"/>
          <w:szCs w:val="28"/>
        </w:rPr>
        <w:footnoteRef/>
      </w:r>
      <w:r w:rsidRPr="0018262F">
        <w:rPr>
          <w:sz w:val="24"/>
          <w:szCs w:val="28"/>
        </w:rPr>
        <w:t xml:space="preserve"> </w:t>
      </w:r>
      <w:r w:rsidRPr="0018262F">
        <w:rPr>
          <w:rFonts w:ascii="Times New Roman" w:hAnsi="Times New Roman"/>
          <w:sz w:val="24"/>
          <w:szCs w:val="28"/>
        </w:rPr>
        <w:t xml:space="preserve">Правила технологического присоединения </w:t>
      </w:r>
      <w:proofErr w:type="spellStart"/>
      <w:r w:rsidRPr="0018262F">
        <w:rPr>
          <w:rFonts w:ascii="Times New Roman" w:hAnsi="Times New Roman"/>
          <w:sz w:val="24"/>
          <w:szCs w:val="28"/>
        </w:rPr>
        <w:t>энергопринимающих</w:t>
      </w:r>
      <w:proofErr w:type="spellEnd"/>
      <w:r w:rsidRPr="0018262F">
        <w:rPr>
          <w:rFonts w:ascii="Times New Roman" w:hAnsi="Times New Roman"/>
          <w:sz w:val="24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A60788" w:rsidRPr="00A15D55" w:rsidRDefault="00A60788" w:rsidP="00A60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62F">
        <w:rPr>
          <w:rStyle w:val="a5"/>
          <w:szCs w:val="28"/>
        </w:rPr>
        <w:footnoteRef/>
      </w:r>
      <w:r w:rsidRPr="0018262F">
        <w:rPr>
          <w:szCs w:val="28"/>
        </w:rPr>
        <w:t xml:space="preserve"> Документы в пунктах в) и г) не требуются для представления заявителями, электрохозяйство которых включает в себя только вводное устройство напряжением до 1000</w:t>
      </w:r>
      <w:proofErr w:type="gramStart"/>
      <w:r w:rsidRPr="0018262F">
        <w:rPr>
          <w:szCs w:val="28"/>
        </w:rPr>
        <w:t xml:space="preserve"> В</w:t>
      </w:r>
      <w:proofErr w:type="gramEnd"/>
      <w:r w:rsidRPr="0018262F">
        <w:rPr>
          <w:szCs w:val="28"/>
        </w:rPr>
        <w:t xml:space="preserve">, осветительные установки, переносное электрооборудование и </w:t>
      </w:r>
      <w:proofErr w:type="spellStart"/>
      <w:r w:rsidRPr="0018262F">
        <w:rPr>
          <w:szCs w:val="28"/>
        </w:rPr>
        <w:t>энергопринимающие</w:t>
      </w:r>
      <w:proofErr w:type="spellEnd"/>
      <w:r w:rsidRPr="0018262F">
        <w:rPr>
          <w:szCs w:val="28"/>
        </w:rPr>
        <w:t xml:space="preserve"> устройства номинальным напряжением не выше 380 В.</w:t>
      </w:r>
    </w:p>
  </w:footnote>
  <w:footnote w:id="3">
    <w:p w:rsidR="00A60788" w:rsidRPr="00A15D55" w:rsidRDefault="00A60788" w:rsidP="00A607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62F">
        <w:rPr>
          <w:rStyle w:val="a5"/>
          <w:szCs w:val="28"/>
        </w:rPr>
        <w:footnoteRef/>
      </w:r>
      <w:r w:rsidRPr="0018262F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D1F52"/>
    <w:rsid w:val="00230BDD"/>
    <w:rsid w:val="002852E3"/>
    <w:rsid w:val="002F7A00"/>
    <w:rsid w:val="0036706B"/>
    <w:rsid w:val="003755DA"/>
    <w:rsid w:val="00395330"/>
    <w:rsid w:val="003B0B57"/>
    <w:rsid w:val="003D77D3"/>
    <w:rsid w:val="004434D5"/>
    <w:rsid w:val="004E2B82"/>
    <w:rsid w:val="00570F99"/>
    <w:rsid w:val="005E082B"/>
    <w:rsid w:val="0060133D"/>
    <w:rsid w:val="00646FA8"/>
    <w:rsid w:val="00716343"/>
    <w:rsid w:val="007A0102"/>
    <w:rsid w:val="007A32CA"/>
    <w:rsid w:val="00856D23"/>
    <w:rsid w:val="008D2F29"/>
    <w:rsid w:val="009F28B9"/>
    <w:rsid w:val="00A547B0"/>
    <w:rsid w:val="00A60788"/>
    <w:rsid w:val="00A7452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FB39D2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2015-10-26T09:47:00Z</dcterms:created>
  <dcterms:modified xsi:type="dcterms:W3CDTF">2015-10-26T09:47:00Z</dcterms:modified>
</cp:coreProperties>
</file>