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EE055" w14:textId="37003BD3" w:rsidR="007209D4" w:rsidRPr="000A15BD" w:rsidRDefault="007209D4" w:rsidP="001B413F">
      <w:pPr>
        <w:tabs>
          <w:tab w:val="left" w:pos="0"/>
        </w:tabs>
        <w:outlineLvl w:val="0"/>
        <w:rPr>
          <w:b/>
          <w:lang w:val="en-US"/>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«Чеченэнерго»,</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 xml:space="preserve">___________________Р.С-Э. Докуев </w:t>
      </w:r>
    </w:p>
    <w:p w14:paraId="51AAC10E" w14:textId="77777777" w:rsidR="00965EB3" w:rsidRPr="00965EB3" w:rsidRDefault="00965EB3" w:rsidP="00965EB3">
      <w:pPr>
        <w:tabs>
          <w:tab w:val="left" w:pos="0"/>
        </w:tabs>
        <w:jc w:val="right"/>
        <w:outlineLvl w:val="0"/>
        <w:rPr>
          <w:color w:val="000000"/>
        </w:rPr>
      </w:pPr>
    </w:p>
    <w:p w14:paraId="1EBD2668" w14:textId="16828FF1" w:rsidR="00965EB3" w:rsidRPr="00965EB3" w:rsidRDefault="006B5685" w:rsidP="00965EB3">
      <w:pPr>
        <w:tabs>
          <w:tab w:val="left" w:pos="0"/>
        </w:tabs>
        <w:jc w:val="right"/>
        <w:outlineLvl w:val="0"/>
        <w:rPr>
          <w:color w:val="000000"/>
        </w:rPr>
      </w:pPr>
      <w:r>
        <w:rPr>
          <w:color w:val="000000"/>
        </w:rPr>
        <w:t>«</w:t>
      </w:r>
      <w:r w:rsidR="001C3394">
        <w:rPr>
          <w:color w:val="000000"/>
        </w:rPr>
        <w:t>18</w:t>
      </w:r>
      <w:r w:rsidR="00965EB3" w:rsidRPr="00965EB3">
        <w:rPr>
          <w:color w:val="000000"/>
        </w:rPr>
        <w:t>»</w:t>
      </w:r>
      <w:r w:rsidR="00C27CD1">
        <w:rPr>
          <w:color w:val="000000"/>
        </w:rPr>
        <w:t xml:space="preserve"> </w:t>
      </w:r>
      <w:r w:rsidR="009A0702">
        <w:rPr>
          <w:color w:val="000000"/>
        </w:rPr>
        <w:t>июня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3A6FFD16" w:rsidR="00582C03" w:rsidRPr="007C165F" w:rsidRDefault="00582C03" w:rsidP="00582C03">
      <w:pPr>
        <w:tabs>
          <w:tab w:val="left" w:pos="0"/>
          <w:tab w:val="left" w:pos="851"/>
          <w:tab w:val="left" w:pos="1134"/>
        </w:tabs>
        <w:jc w:val="both"/>
      </w:pPr>
      <w:r w:rsidRPr="00F010F3">
        <w:t>Акционерное общество «Чеченэнерго» (далее АО «Чеченэнерго»)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Pr>
          <w:bCs/>
          <w:color w:val="0000CC"/>
          <w:szCs w:val="28"/>
        </w:rPr>
        <w:t xml:space="preserve"> </w:t>
      </w:r>
      <w:r w:rsidR="000A15BD">
        <w:rPr>
          <w:bCs/>
          <w:color w:val="0000CC"/>
          <w:szCs w:val="28"/>
        </w:rPr>
        <w:t>средств защиты при работе на высоте</w:t>
      </w:r>
      <w:r>
        <w:t xml:space="preserve"> </w:t>
      </w:r>
      <w:r w:rsidRPr="008D037E">
        <w:t xml:space="preserve">для нужд </w:t>
      </w:r>
      <w:r w:rsidRPr="00F010F3">
        <w:t>АО «Чеченэнерго», управляемо</w:t>
      </w:r>
      <w:r>
        <w:t xml:space="preserve">го </w:t>
      </w:r>
      <w:r w:rsidR="006B3ADC">
        <w:br/>
      </w:r>
      <w:r>
        <w:t>ПАО «Россети Северный Ка</w:t>
      </w:r>
      <w:r w:rsidR="009A0702">
        <w:t>вказ», в соответствии с Распоряжением</w:t>
      </w:r>
      <w:r>
        <w:t xml:space="preserve"> </w:t>
      </w:r>
      <w:r w:rsidR="009A0702">
        <w:t>«О проведении закупок</w:t>
      </w:r>
      <w:r w:rsidR="00177305">
        <w:t xml:space="preserve"> по протоколу ЦЗО»  № 117р от 31</w:t>
      </w:r>
      <w:r w:rsidR="009A0702">
        <w:t xml:space="preserve">.05.2021. </w:t>
      </w:r>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«Чеченэнерго»</w:t>
      </w:r>
      <w:r w:rsidR="00866B07">
        <w:rPr>
          <w:bCs/>
        </w:rPr>
        <w:t>, управляемое</w:t>
      </w:r>
      <w:r w:rsidR="00087CA3">
        <w:rPr>
          <w:bCs/>
        </w:rPr>
        <w:t xml:space="preserve"> </w:t>
      </w:r>
      <w:r w:rsidR="00090E8D">
        <w:rPr>
          <w:bCs/>
        </w:rPr>
        <w:br/>
      </w:r>
      <w:r w:rsidR="00087CA3">
        <w:rPr>
          <w:bCs/>
        </w:rPr>
        <w:t>ПАО «Россети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0EFC3EB9"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r w:rsidR="009A0702">
        <w:rPr>
          <w:color w:val="3333FF"/>
        </w:rPr>
        <w:t>Шабазов Мурад Шепиевич</w:t>
      </w:r>
      <w:r w:rsidR="003C5182" w:rsidRPr="002840E6">
        <w:rPr>
          <w:color w:val="3333FF"/>
        </w:rPr>
        <w:t xml:space="preserve"> </w:t>
      </w:r>
      <w:r w:rsidR="00A0151D" w:rsidRPr="002840E6">
        <w:rPr>
          <w:color w:val="3333FF"/>
        </w:rPr>
        <w:t xml:space="preserve">                     </w:t>
      </w:r>
    </w:p>
    <w:p w14:paraId="0B4C9E00" w14:textId="02B21F00"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9A0702" w:rsidRPr="009A0702">
        <w:rPr>
          <w:lang w:val="en-US"/>
        </w:rPr>
        <w:t>hanleo@mail.ru</w:t>
      </w:r>
    </w:p>
    <w:p w14:paraId="30F7494E" w14:textId="638BC3DA" w:rsidR="006C527E" w:rsidRPr="000A15BD" w:rsidRDefault="006C527E" w:rsidP="00FE4603">
      <w:pPr>
        <w:keepNext/>
        <w:keepLines/>
        <w:tabs>
          <w:tab w:val="left" w:pos="851"/>
          <w:tab w:val="left" w:pos="1134"/>
        </w:tabs>
        <w:ind w:left="360"/>
        <w:jc w:val="both"/>
        <w:rPr>
          <w:color w:val="3333FF"/>
          <w:lang w:val="en-US"/>
        </w:rPr>
      </w:pPr>
      <w:r w:rsidRPr="002840E6">
        <w:rPr>
          <w:b/>
        </w:rPr>
        <w:t>Тел</w:t>
      </w:r>
      <w:r w:rsidRPr="009A0702">
        <w:rPr>
          <w:b/>
          <w:lang w:val="en-US"/>
        </w:rPr>
        <w:t>.:</w:t>
      </w:r>
      <w:r w:rsidRPr="009A0702">
        <w:rPr>
          <w:lang w:val="en-US"/>
        </w:rPr>
        <w:t xml:space="preserve"> </w:t>
      </w:r>
      <w:r w:rsidR="009A0702" w:rsidRPr="009A0702">
        <w:rPr>
          <w:color w:val="3333FF"/>
          <w:lang w:val="en-US"/>
        </w:rPr>
        <w:t>8 (928) 736-03</w:t>
      </w:r>
      <w:r w:rsidR="009A0702">
        <w:rPr>
          <w:color w:val="3333FF"/>
          <w:lang w:val="en-US"/>
        </w:rPr>
        <w:t>-</w:t>
      </w:r>
      <w:r w:rsidR="009A0702" w:rsidRPr="000A15BD">
        <w:rPr>
          <w:color w:val="3333FF"/>
          <w:lang w:val="en-US"/>
        </w:rPr>
        <w:t>10</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r w:rsidR="00A61CAE">
        <w:rPr>
          <w:color w:val="3333FF"/>
        </w:rPr>
        <w:t>Калаев Алихан Савиевич</w:t>
      </w:r>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68390A45" w:rsidR="00C43116" w:rsidRDefault="006C527E" w:rsidP="00C43116">
      <w:pPr>
        <w:pStyle w:val="Default"/>
        <w:tabs>
          <w:tab w:val="left" w:pos="0"/>
        </w:tabs>
        <w:jc w:val="both"/>
        <w:rPr>
          <w:color w:val="auto"/>
        </w:rPr>
      </w:pPr>
      <w:r>
        <w:t>З</w:t>
      </w:r>
      <w:r w:rsidR="003E544D" w:rsidRPr="007C165F">
        <w:t xml:space="preserve">аключение договора на </w:t>
      </w:r>
      <w:r w:rsidR="000A15BD">
        <w:t>поставку средств защиты при работе на высоте</w:t>
      </w:r>
      <w:r w:rsidR="00864B88">
        <w:t xml:space="preserve"> </w:t>
      </w:r>
      <w:r w:rsidR="00C43116" w:rsidRPr="00C43116">
        <w:rPr>
          <w:color w:val="auto"/>
        </w:rPr>
        <w:t xml:space="preserve">для нужд </w:t>
      </w:r>
      <w:r w:rsidR="00424F46">
        <w:rPr>
          <w:color w:val="auto"/>
        </w:rPr>
        <w:br/>
      </w:r>
      <w:r w:rsidR="00C43116" w:rsidRPr="00C43116">
        <w:rPr>
          <w:color w:val="auto"/>
        </w:rPr>
        <w:t>АО «Чеченэнерго», управляемого</w:t>
      </w:r>
      <w:r w:rsidR="00C27CD1">
        <w:rPr>
          <w:color w:val="auto"/>
        </w:rPr>
        <w:t xml:space="preserve"> ПАО «Россети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1AE33BCF" w14:textId="5A8E6C17" w:rsidR="001B413F" w:rsidRPr="00153F76" w:rsidRDefault="000A15BD" w:rsidP="001B413F">
      <w:pPr>
        <w:keepNext/>
        <w:keepLines/>
        <w:tabs>
          <w:tab w:val="left" w:pos="0"/>
          <w:tab w:val="left" w:pos="851"/>
          <w:tab w:val="left" w:pos="1134"/>
        </w:tabs>
        <w:spacing w:after="120"/>
        <w:jc w:val="both"/>
        <w:rPr>
          <w:bCs/>
        </w:rPr>
      </w:pPr>
      <w:r>
        <w:rPr>
          <w:b/>
          <w:bCs/>
        </w:rPr>
        <w:t>206 525</w:t>
      </w:r>
      <w:r>
        <w:rPr>
          <w:bCs/>
        </w:rPr>
        <w:t xml:space="preserve"> (Двести шесть тысяч пятьсот двадцать пять</w:t>
      </w:r>
      <w:r w:rsidR="001B413F" w:rsidRPr="00153F76">
        <w:rPr>
          <w:bCs/>
        </w:rPr>
        <w:t xml:space="preserve">) рублей  </w:t>
      </w:r>
      <w:r>
        <w:rPr>
          <w:b/>
          <w:bCs/>
        </w:rPr>
        <w:t>00</w:t>
      </w:r>
      <w:r w:rsidR="001B413F" w:rsidRPr="00153F76">
        <w:rPr>
          <w:b/>
          <w:bCs/>
        </w:rPr>
        <w:t xml:space="preserve"> </w:t>
      </w:r>
      <w:r w:rsidR="001B413F" w:rsidRPr="00153F76">
        <w:rPr>
          <w:bCs/>
        </w:rPr>
        <w:t xml:space="preserve">копеек, кроме того НДС в размере 20 % -  </w:t>
      </w:r>
      <w:r>
        <w:rPr>
          <w:b/>
          <w:bCs/>
        </w:rPr>
        <w:t>41 305</w:t>
      </w:r>
      <w:r>
        <w:rPr>
          <w:bCs/>
        </w:rPr>
        <w:t xml:space="preserve"> (Сорок одна тысяча триста пять</w:t>
      </w:r>
      <w:r w:rsidR="001B413F" w:rsidRPr="00153F76">
        <w:rPr>
          <w:bCs/>
        </w:rPr>
        <w:t xml:space="preserve">) рублей </w:t>
      </w:r>
      <w:r>
        <w:rPr>
          <w:b/>
          <w:bCs/>
        </w:rPr>
        <w:t>00</w:t>
      </w:r>
      <w:r w:rsidR="001B413F" w:rsidRPr="00153F76">
        <w:rPr>
          <w:b/>
          <w:bCs/>
        </w:rPr>
        <w:t xml:space="preserve"> </w:t>
      </w:r>
      <w:r w:rsidR="001B413F" w:rsidRPr="00153F76">
        <w:rPr>
          <w:bCs/>
        </w:rPr>
        <w:t>копеек.</w:t>
      </w:r>
    </w:p>
    <w:p w14:paraId="1A7A39BC" w14:textId="58325665" w:rsidR="001B413F" w:rsidRPr="00153F76" w:rsidRDefault="001B413F" w:rsidP="001B413F">
      <w:pPr>
        <w:keepNext/>
        <w:keepLines/>
        <w:tabs>
          <w:tab w:val="left" w:pos="0"/>
          <w:tab w:val="left" w:pos="851"/>
          <w:tab w:val="left" w:pos="1134"/>
        </w:tabs>
        <w:spacing w:after="120"/>
        <w:jc w:val="both"/>
        <w:rPr>
          <w:bCs/>
        </w:rPr>
      </w:pPr>
      <w:r w:rsidRPr="00153F76">
        <w:rPr>
          <w:bCs/>
        </w:rPr>
        <w:t xml:space="preserve">Начальная (максимальная) цена договора (цена лота) с учетом НДС составляет:                              </w:t>
      </w:r>
      <w:r w:rsidR="000A15BD">
        <w:rPr>
          <w:b/>
          <w:bCs/>
        </w:rPr>
        <w:t>247 830</w:t>
      </w:r>
      <w:r w:rsidRPr="00153F76">
        <w:rPr>
          <w:b/>
          <w:bCs/>
        </w:rPr>
        <w:t xml:space="preserve"> </w:t>
      </w:r>
      <w:r w:rsidR="000A15BD">
        <w:rPr>
          <w:bCs/>
        </w:rPr>
        <w:t>(Двести сорок семь тысяч восемьсот тридцать</w:t>
      </w:r>
      <w:r w:rsidRPr="00153F76">
        <w:rPr>
          <w:bCs/>
        </w:rPr>
        <w:t xml:space="preserve">) рублей   </w:t>
      </w:r>
      <w:r w:rsidR="000A15BD">
        <w:rPr>
          <w:b/>
          <w:bCs/>
        </w:rPr>
        <w:t>00</w:t>
      </w:r>
      <w:r w:rsidRPr="00153F76">
        <w:rPr>
          <w:b/>
          <w:bCs/>
        </w:rPr>
        <w:t xml:space="preserve"> </w:t>
      </w:r>
      <w:r w:rsidRPr="00153F76">
        <w:rPr>
          <w:bCs/>
        </w:rPr>
        <w:t>копеек.</w:t>
      </w:r>
    </w:p>
    <w:p w14:paraId="4769154C" w14:textId="4ACB8FF9" w:rsidR="003E544D" w:rsidRPr="007C165F" w:rsidRDefault="0056084B" w:rsidP="0050646B">
      <w:pPr>
        <w:autoSpaceDE w:val="0"/>
        <w:autoSpaceDN w:val="0"/>
        <w:spacing w:before="60"/>
        <w:jc w:val="both"/>
      </w:pPr>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6F56AA80" w:rsidR="003E544D" w:rsidRPr="007C165F" w:rsidRDefault="003E544D" w:rsidP="00396748">
      <w:pPr>
        <w:tabs>
          <w:tab w:val="left" w:pos="0"/>
          <w:tab w:val="left" w:pos="851"/>
          <w:tab w:val="left" w:pos="1134"/>
        </w:tabs>
        <w:spacing w:after="120"/>
        <w:jc w:val="both"/>
      </w:pPr>
      <w:r w:rsidRPr="007C165F">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00EF4E4B" w:rsidRPr="00CC16ED">
          <w:rPr>
            <w:rStyle w:val="a6"/>
            <w:color w:val="0000CC"/>
          </w:rPr>
          <w:t>https://</w:t>
        </w:r>
        <w:r w:rsidR="00EF4E4B" w:rsidRPr="00CC16ED">
          <w:rPr>
            <w:rStyle w:val="a6"/>
            <w:color w:val="0000CC"/>
            <w:lang w:val="en-US"/>
          </w:rPr>
          <w:t>msp</w:t>
        </w:r>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1C3394">
        <w:t>18</w:t>
      </w:r>
      <w:r w:rsidRPr="00525AE3">
        <w:t xml:space="preserve">» </w:t>
      </w:r>
      <w:r w:rsidR="000B3FFA">
        <w:t xml:space="preserve"> июня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В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lastRenderedPageBreak/>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В случае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6634BED6" w:rsidR="003E544D" w:rsidRPr="007C165F" w:rsidRDefault="003E544D" w:rsidP="007C165F">
      <w:pPr>
        <w:pStyle w:val="Default"/>
        <w:tabs>
          <w:tab w:val="left" w:pos="0"/>
        </w:tabs>
        <w:jc w:val="both"/>
      </w:pPr>
      <w:r w:rsidRPr="007C165F">
        <w:t>Дата начала срока подачи заявок</w:t>
      </w:r>
      <w:r w:rsidRPr="00525AE3">
        <w:t>: «</w:t>
      </w:r>
      <w:r w:rsidR="00184913">
        <w:t>18</w:t>
      </w:r>
      <w:r w:rsidRPr="00525AE3">
        <w:t xml:space="preserve">» </w:t>
      </w:r>
      <w:r w:rsidR="000B3FFA">
        <w:t>июня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41A3A47A" w:rsidR="003E544D" w:rsidRPr="00286E3F" w:rsidRDefault="003E544D" w:rsidP="007C165F">
      <w:pPr>
        <w:pStyle w:val="Default"/>
        <w:tabs>
          <w:tab w:val="left" w:pos="0"/>
        </w:tabs>
        <w:jc w:val="both"/>
        <w:rPr>
          <w:b/>
        </w:rPr>
      </w:pPr>
      <w:r w:rsidRPr="00286E3F">
        <w:rPr>
          <w:b/>
        </w:rPr>
        <w:t>«</w:t>
      </w:r>
      <w:r w:rsidR="00EB5D96">
        <w:rPr>
          <w:b/>
        </w:rPr>
        <w:t>24</w:t>
      </w:r>
      <w:r w:rsidRPr="00286E3F">
        <w:rPr>
          <w:b/>
        </w:rPr>
        <w:t>»</w:t>
      </w:r>
      <w:r w:rsidR="00A61CAE" w:rsidRPr="00286E3F">
        <w:rPr>
          <w:b/>
        </w:rPr>
        <w:t xml:space="preserve"> </w:t>
      </w:r>
      <w:r w:rsidR="00DE6CE1">
        <w:rPr>
          <w:b/>
        </w:rPr>
        <w:t xml:space="preserve"> </w:t>
      </w:r>
      <w:r w:rsidR="00EB5D96">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184913">
        <w:rPr>
          <w:b/>
        </w:rPr>
        <w:t>16</w:t>
      </w:r>
      <w:bookmarkStart w:id="0" w:name="_GoBack"/>
      <w:bookmarkEnd w:id="0"/>
      <w:r w:rsidRPr="00286E3F">
        <w:rPr>
          <w:b/>
        </w:rPr>
        <w:t>:</w:t>
      </w:r>
      <w:r w:rsidR="000A15BD">
        <w:rPr>
          <w:b/>
        </w:rPr>
        <w:t>30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097F9554"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EB5D96">
        <w:t>24</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184913">
        <w:t>16</w:t>
      </w:r>
      <w:r w:rsidR="00D6777E" w:rsidRPr="001065FD">
        <w:t>:</w:t>
      </w:r>
      <w:r w:rsidR="000A15BD">
        <w:t>30</w:t>
      </w:r>
      <w:r w:rsidR="00D6777E" w:rsidRPr="001065FD">
        <w:t xml:space="preserve"> (время московское)</w:t>
      </w:r>
    </w:p>
    <w:p w14:paraId="23194B1E" w14:textId="2786539D"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EB5D96">
        <w:rPr>
          <w:b/>
        </w:rPr>
        <w:t>01</w:t>
      </w:r>
      <w:r w:rsidRPr="00286E3F">
        <w:rPr>
          <w:b/>
        </w:rPr>
        <w:t>»</w:t>
      </w:r>
      <w:r w:rsidR="00F84250" w:rsidRPr="00286E3F">
        <w:rPr>
          <w:b/>
        </w:rPr>
        <w:t xml:space="preserve"> </w:t>
      </w:r>
      <w:r w:rsidR="00EB5D96">
        <w:rPr>
          <w:b/>
        </w:rPr>
        <w:t>июля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6AA91F50"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EB5D96">
        <w:rPr>
          <w:b/>
        </w:rPr>
        <w:t>02</w:t>
      </w:r>
      <w:r w:rsidRPr="00286E3F">
        <w:rPr>
          <w:b/>
        </w:rPr>
        <w:t xml:space="preserve">» </w:t>
      </w:r>
      <w:r w:rsidR="00EB5D96">
        <w:rPr>
          <w:b/>
        </w:rPr>
        <w:t>июля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51AC7D8E" w:rsidR="007C165F" w:rsidRDefault="007C165F" w:rsidP="00396748">
      <w:pPr>
        <w:pStyle w:val="Default"/>
        <w:tabs>
          <w:tab w:val="left" w:pos="0"/>
        </w:tabs>
        <w:spacing w:after="120"/>
        <w:jc w:val="both"/>
      </w:pPr>
      <w:r w:rsidRPr="001065FD">
        <w:t>«</w:t>
      </w:r>
      <w:r w:rsidR="00EB5D96">
        <w:t>21</w:t>
      </w:r>
      <w:r w:rsidRPr="001065FD">
        <w:t>»</w:t>
      </w:r>
      <w:r w:rsidR="006E5A55">
        <w:t xml:space="preserve"> </w:t>
      </w:r>
      <w:r w:rsidR="00F84250">
        <w:t xml:space="preserve"> </w:t>
      </w:r>
      <w:r w:rsidR="000B3FFA">
        <w:t>июня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184913" w:rsidP="00396748">
      <w:pPr>
        <w:pStyle w:val="Default"/>
        <w:tabs>
          <w:tab w:val="left" w:pos="0"/>
        </w:tabs>
        <w:spacing w:after="120"/>
        <w:jc w:val="both"/>
        <w:rPr>
          <w:color w:val="3333FF"/>
        </w:rPr>
      </w:pPr>
      <w:hyperlink r:id="rId9" w:history="1">
        <w:r w:rsidR="008660E3" w:rsidRPr="00481549">
          <w:rPr>
            <w:rStyle w:val="a6"/>
          </w:rPr>
          <w:t>https://</w:t>
        </w:r>
        <w:r w:rsidR="008660E3" w:rsidRPr="00481549">
          <w:rPr>
            <w:rStyle w:val="a6"/>
            <w:lang w:val="en-US"/>
          </w:rPr>
          <w:t>msp</w:t>
        </w:r>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087CA3">
        <w:br/>
      </w:r>
      <w:r w:rsidRPr="00087CA3">
        <w:lastRenderedPageBreak/>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r w:rsidRPr="00F26A2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t xml:space="preserve">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w:t>
      </w:r>
      <w:r w:rsidRPr="00370F3D">
        <w:lastRenderedPageBreak/>
        <w:t>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 xml:space="preserve">Получатель платежа – АО «Чеченэнерго»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r w:rsidRPr="00332A1E">
        <w:rPr>
          <w:color w:val="000000"/>
        </w:rPr>
        <w:t>р/с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поручении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В случае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lastRenderedPageBreak/>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(RU)/ruA-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 xml:space="preserve">ruBBB+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ruBBB</w:t>
            </w:r>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BBB-(RU)/ruBBB-</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A-(RU)/ruA-: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закупка признана несостоявшейся и договор заключается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«Россети»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ТРЕБОВАНИЯ К СВЕДЕНИЯМ И ДОКУМЕНТАМ, ПРЕДСТАВЛЯЕМЫМ В СОСТАВЕ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В случае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2459B642" w14:textId="77777777" w:rsidR="00E359F8" w:rsidRPr="00C46A62" w:rsidRDefault="00E359F8" w:rsidP="00E359F8">
      <w:pPr>
        <w:jc w:val="both"/>
      </w:pPr>
      <w:r w:rsidRPr="00C46A62">
        <w:t>2.4.5.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 чем срок действия договора.</w:t>
      </w:r>
    </w:p>
    <w:p w14:paraId="01533C82" w14:textId="77777777" w:rsidR="00E359F8" w:rsidRPr="00C46A62" w:rsidRDefault="00E359F8" w:rsidP="00E359F8">
      <w:pPr>
        <w:jc w:val="both"/>
      </w:pPr>
      <w:r w:rsidRPr="00C46A62">
        <w:t>2.4.6.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заявка подготавливается и подается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2.4.7. 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согласен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xml:space="preserve">-  Соглашение о намерениях заключить договор между участником и каждым привлекаемым субподрядчиком (соисполнителем/сопоставщиком);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73A77BA0" w14:textId="77777777" w:rsidR="00D1514B" w:rsidRPr="003E4A71" w:rsidRDefault="00D1514B" w:rsidP="00D1514B">
      <w:pPr>
        <w:numPr>
          <w:ilvl w:val="2"/>
          <w:numId w:val="29"/>
        </w:numPr>
        <w:ind w:left="0" w:firstLine="0"/>
        <w:jc w:val="both"/>
      </w:pPr>
      <w:bookmarkStart w:id="30" w:name="_Ref126085783"/>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 требованию декларируется Участником в Заявке)</w:t>
      </w:r>
      <w:r w:rsidRPr="00F8722A">
        <w:t xml:space="preserve">; </w:t>
      </w:r>
    </w:p>
    <w:p w14:paraId="6FDC483C" w14:textId="2B905948" w:rsidR="000B3FFA" w:rsidRPr="006A282C" w:rsidRDefault="00EC4429" w:rsidP="006A282C">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136947B1" w14:textId="1574AB17" w:rsidR="006A282C" w:rsidRPr="006A282C" w:rsidRDefault="006A282C" w:rsidP="006A282C">
      <w:pPr>
        <w:tabs>
          <w:tab w:val="left" w:pos="0"/>
          <w:tab w:val="left" w:pos="601"/>
        </w:tabs>
        <w:jc w:val="both"/>
        <w:rPr>
          <w:b/>
          <w:color w:val="000000" w:themeColor="text1"/>
          <w:sz w:val="22"/>
          <w:szCs w:val="22"/>
          <w:lang w:eastAsia="zh-CN"/>
        </w:rPr>
      </w:pPr>
      <w:r>
        <w:rPr>
          <w:rFonts w:eastAsia="Calibri"/>
        </w:rPr>
        <w:t>з</w:t>
      </w:r>
      <w:r w:rsidR="000B3FFA">
        <w:rPr>
          <w:rFonts w:eastAsia="Calibri"/>
        </w:rPr>
        <w:t xml:space="preserve">) </w:t>
      </w:r>
      <w:r w:rsidRPr="006A282C">
        <w:rPr>
          <w:rFonts w:eastAsia="Calibri"/>
          <w:b/>
          <w:color w:val="000000" w:themeColor="text1"/>
        </w:rPr>
        <w:t xml:space="preserve">Предоставить </w:t>
      </w:r>
      <w:r w:rsidRPr="006A282C">
        <w:rPr>
          <w:b/>
          <w:color w:val="000000" w:themeColor="text1"/>
          <w:sz w:val="22"/>
          <w:szCs w:val="22"/>
        </w:rPr>
        <w:t>образцы к позициям № 2,3,4,5 данного Технического задания в Службу производственной безопасности и производственного контроля АО «Чеченэнерго» до момен</w:t>
      </w:r>
      <w:r w:rsidR="00881381">
        <w:rPr>
          <w:b/>
          <w:color w:val="000000" w:themeColor="text1"/>
          <w:sz w:val="22"/>
          <w:szCs w:val="22"/>
        </w:rPr>
        <w:t>та рассмотрения заявок</w:t>
      </w:r>
      <w:r w:rsidRPr="006A282C">
        <w:rPr>
          <w:b/>
          <w:color w:val="000000" w:themeColor="text1"/>
          <w:sz w:val="22"/>
          <w:szCs w:val="22"/>
        </w:rPr>
        <w:t xml:space="preserve"> (по 1 экземпляру в соответствии со спецификацией указанной в п. 2 Технического задания по адресу указанному  в п. 3.7 Технического задания).</w:t>
      </w:r>
    </w:p>
    <w:p w14:paraId="48F00B5F" w14:textId="77777777" w:rsidR="006A282C" w:rsidRDefault="006A282C" w:rsidP="006A282C">
      <w:pPr>
        <w:tabs>
          <w:tab w:val="left" w:pos="0"/>
          <w:tab w:val="left" w:pos="601"/>
          <w:tab w:val="num" w:pos="2019"/>
        </w:tabs>
        <w:suppressAutoHyphens/>
        <w:jc w:val="both"/>
        <w:rPr>
          <w:sz w:val="22"/>
          <w:szCs w:val="22"/>
          <w:lang w:eastAsia="zh-CN"/>
        </w:rPr>
      </w:pPr>
      <w:r w:rsidRPr="006A282C">
        <w:rPr>
          <w:sz w:val="22"/>
          <w:szCs w:val="22"/>
          <w:lang w:eastAsia="zh-CN"/>
        </w:rPr>
        <w:t>Переданные образцы находятся у Заказчика в качестве эталона до полного исполнения всех обязательств по договору.</w:t>
      </w:r>
    </w:p>
    <w:p w14:paraId="303CE69C" w14:textId="06619832" w:rsidR="006A282C" w:rsidRDefault="006A282C" w:rsidP="006A282C">
      <w:pPr>
        <w:tabs>
          <w:tab w:val="left" w:pos="0"/>
          <w:tab w:val="left" w:pos="601"/>
          <w:tab w:val="num" w:pos="2019"/>
        </w:tabs>
        <w:suppressAutoHyphens/>
        <w:jc w:val="both"/>
        <w:rPr>
          <w:sz w:val="22"/>
          <w:szCs w:val="22"/>
          <w:lang w:eastAsia="zh-CN"/>
        </w:rPr>
      </w:pPr>
      <w:r>
        <w:rPr>
          <w:sz w:val="22"/>
          <w:szCs w:val="22"/>
          <w:lang w:eastAsia="zh-CN"/>
        </w:rPr>
        <w:t xml:space="preserve">и) После подведения итогов </w:t>
      </w:r>
      <w:r w:rsidRPr="006A282C">
        <w:rPr>
          <w:sz w:val="22"/>
          <w:szCs w:val="22"/>
          <w:lang w:eastAsia="zh-CN"/>
        </w:rPr>
        <w:t>процедуры победитель не имеет права самостоятельно, без письменного согласования с заказчиком, изменять качество продукции, указанной в техническом задании в составе заявки и представленные им в качестве образцов.</w:t>
      </w:r>
    </w:p>
    <w:p w14:paraId="362851FE" w14:textId="277A4716" w:rsidR="00EB5D96" w:rsidRPr="006A282C" w:rsidRDefault="00EB5D96" w:rsidP="00EB5D96">
      <w:pPr>
        <w:jc w:val="both"/>
        <w:rPr>
          <w:sz w:val="22"/>
          <w:szCs w:val="22"/>
          <w:lang w:eastAsia="zh-CN"/>
        </w:rPr>
      </w:pPr>
      <w:r>
        <w:rPr>
          <w:sz w:val="22"/>
          <w:szCs w:val="22"/>
          <w:lang w:eastAsia="zh-CN"/>
        </w:rPr>
        <w:t xml:space="preserve">к) Наличие </w:t>
      </w:r>
      <w:r w:rsidRPr="00EB5D96">
        <w:rPr>
          <w:sz w:val="22"/>
          <w:szCs w:val="22"/>
          <w:lang w:eastAsia="zh-CN"/>
        </w:rPr>
        <w:t xml:space="preserve"> сертификатов соответствия ТР ТС 019/2011, протоколов сертификационных испытаний к позициям № 2,3,4  </w:t>
      </w:r>
      <w:r w:rsidRPr="00EB5D96">
        <w:rPr>
          <w:sz w:val="22"/>
          <w:szCs w:val="22"/>
        </w:rPr>
        <w:t>данного Технического задания</w:t>
      </w:r>
      <w:r w:rsidRPr="00EB5D96">
        <w:rPr>
          <w:sz w:val="22"/>
          <w:szCs w:val="22"/>
          <w:lang w:eastAsia="zh-CN"/>
        </w:rPr>
        <w:t>.</w:t>
      </w:r>
    </w:p>
    <w:p w14:paraId="7323ABC8" w14:textId="10741567" w:rsidR="006A282C" w:rsidRDefault="00EB5D96" w:rsidP="006A282C">
      <w:pPr>
        <w:jc w:val="both"/>
        <w:rPr>
          <w:rFonts w:eastAsia="Calibri"/>
          <w:lang w:eastAsia="en-US"/>
        </w:rPr>
      </w:pPr>
      <w:r>
        <w:rPr>
          <w:rFonts w:eastAsia="Calibri"/>
          <w:lang w:eastAsia="en-US"/>
        </w:rPr>
        <w:t>л</w:t>
      </w:r>
      <w:r w:rsidR="006A282C">
        <w:rPr>
          <w:rFonts w:eastAsia="Calibri"/>
          <w:lang w:eastAsia="en-US"/>
        </w:rPr>
        <w:t>) Наличие маркировки в соответствии с ТР ТС 019/2011</w:t>
      </w:r>
    </w:p>
    <w:p w14:paraId="5B2D2477" w14:textId="25AA07B9" w:rsidR="00EB5D96" w:rsidRDefault="00EB5D96" w:rsidP="006A282C">
      <w:pPr>
        <w:jc w:val="both"/>
        <w:rPr>
          <w:rFonts w:eastAsia="Calibri"/>
          <w:lang w:eastAsia="en-US"/>
        </w:rPr>
      </w:pPr>
      <w:r>
        <w:rPr>
          <w:rFonts w:eastAsia="Calibri"/>
          <w:lang w:eastAsia="en-US"/>
        </w:rPr>
        <w:t xml:space="preserve">м) </w:t>
      </w:r>
      <w:r w:rsidRPr="00EB5D96">
        <w:rPr>
          <w:sz w:val="22"/>
          <w:szCs w:val="22"/>
          <w:lang w:eastAsia="zh-CN"/>
        </w:rPr>
        <w:t>Наличие в ассортименте поставщика решений от не менее 3-х производителей СИЗ от падения с высоты. (Сертификаты о дистрибьюторстве).</w:t>
      </w:r>
    </w:p>
    <w:p w14:paraId="32DE0614" w14:textId="4E4EC64D" w:rsidR="00D57A6F" w:rsidRPr="00D57A6F" w:rsidRDefault="00EB5D96" w:rsidP="006A282C">
      <w:pPr>
        <w:jc w:val="both"/>
        <w:rPr>
          <w:rFonts w:eastAsia="Calibri"/>
          <w:lang w:eastAsia="en-US"/>
        </w:rPr>
      </w:pPr>
      <w:r>
        <w:rPr>
          <w:rFonts w:eastAsia="Calibri"/>
          <w:lang w:eastAsia="en-US"/>
        </w:rPr>
        <w:t>н</w:t>
      </w:r>
      <w:r w:rsidR="00D57A6F" w:rsidRPr="00D57A6F">
        <w:rPr>
          <w:rFonts w:eastAsia="Calibri"/>
          <w:lang w:eastAsia="en-US"/>
        </w:rPr>
        <w:t xml:space="preserve">) </w:t>
      </w:r>
      <w:r w:rsidR="00D57A6F" w:rsidRPr="00D57A6F">
        <w:rPr>
          <w:lang w:eastAsia="zh-CN"/>
        </w:rPr>
        <w:t>Участник, не являющийся Производителем, обязан предоставить Гарантийное письмо завода-производителя или официального представителя в России, подтверждающего полномочия Участника на поставку Товара Заказчику, гарантирующее поставки в полном объеме в течение действия Договора поставки и распространяющее гарантийные обязательства завода-изготовителя на данный вид товаров.</w:t>
      </w: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lastRenderedPageBreak/>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r w:rsidRPr="00080023">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
    <w:p w14:paraId="21908892" w14:textId="6E29016B" w:rsidR="007A2C6F" w:rsidRDefault="00780E66" w:rsidP="006A282C">
      <w:pPr>
        <w:jc w:val="both"/>
        <w:rPr>
          <w:sz w:val="22"/>
          <w:szCs w:val="22"/>
        </w:rPr>
      </w:pPr>
      <w:r>
        <w:t xml:space="preserve">     </w:t>
      </w:r>
      <w:r w:rsidR="008B0EF0">
        <w:t>м</w:t>
      </w:r>
      <w:r w:rsidR="00E7471E">
        <w:t xml:space="preserve">) </w:t>
      </w:r>
      <w:r w:rsidR="00EB5D96">
        <w:rPr>
          <w:sz w:val="22"/>
          <w:szCs w:val="22"/>
          <w:lang w:eastAsia="zh-CN"/>
        </w:rPr>
        <w:t xml:space="preserve"> Сертификаты</w:t>
      </w:r>
      <w:r w:rsidR="006A282C" w:rsidRPr="006A282C">
        <w:rPr>
          <w:sz w:val="22"/>
          <w:szCs w:val="22"/>
          <w:lang w:eastAsia="zh-CN"/>
        </w:rPr>
        <w:t xml:space="preserve"> соответствия ТР ТС 019/2011, протоколов сертификационных испытаний к позициям № 2,3,4  </w:t>
      </w:r>
      <w:r w:rsidR="006A282C">
        <w:rPr>
          <w:sz w:val="22"/>
          <w:szCs w:val="22"/>
          <w:lang w:eastAsia="zh-CN"/>
        </w:rPr>
        <w:t>п. 1</w:t>
      </w:r>
      <w:r w:rsidR="006A282C" w:rsidRPr="006A282C">
        <w:rPr>
          <w:sz w:val="22"/>
          <w:szCs w:val="22"/>
        </w:rPr>
        <w:t xml:space="preserve"> Технического</w:t>
      </w:r>
      <w:r w:rsidR="006A282C">
        <w:rPr>
          <w:sz w:val="22"/>
          <w:szCs w:val="22"/>
        </w:rPr>
        <w:t xml:space="preserve"> задания. </w:t>
      </w:r>
    </w:p>
    <w:p w14:paraId="372B32C0" w14:textId="77777777" w:rsidR="00D57A6F" w:rsidRDefault="006A282C" w:rsidP="00D57A6F">
      <w:pPr>
        <w:jc w:val="both"/>
        <w:rPr>
          <w:lang w:eastAsia="zh-CN"/>
        </w:rPr>
      </w:pPr>
      <w:r>
        <w:rPr>
          <w:sz w:val="22"/>
          <w:szCs w:val="22"/>
        </w:rPr>
        <w:t xml:space="preserve">     </w:t>
      </w:r>
      <w:r w:rsidR="00D57A6F">
        <w:rPr>
          <w:sz w:val="22"/>
          <w:szCs w:val="22"/>
        </w:rPr>
        <w:t xml:space="preserve">о)    </w:t>
      </w:r>
      <w:r w:rsidR="00D57A6F" w:rsidRPr="00D57A6F">
        <w:rPr>
          <w:lang w:eastAsia="zh-CN"/>
        </w:rPr>
        <w:t>Гарантийное письмо завода-производителя или официального представителя в России, подтверждающего полномочия Участника на поставку Товара Заказчику, гарантирующее поставки в полном объеме в течение действия Договора поставки и распространяющее гарантийные обязательства завода-изготовителя на данный вид товаров.</w:t>
      </w:r>
    </w:p>
    <w:p w14:paraId="2A2C11F8" w14:textId="36DBFEFE" w:rsidR="00D57A6F" w:rsidRPr="00D57A6F" w:rsidRDefault="00D57A6F" w:rsidP="00D57A6F">
      <w:pPr>
        <w:jc w:val="both"/>
        <w:rPr>
          <w:rFonts w:eastAsia="Calibri"/>
          <w:lang w:eastAsia="en-US"/>
        </w:rPr>
      </w:pPr>
      <w:r>
        <w:rPr>
          <w:lang w:eastAsia="zh-CN"/>
        </w:rPr>
        <w:t xml:space="preserve">     п)  </w:t>
      </w:r>
      <w:r w:rsidRPr="00D57A6F">
        <w:rPr>
          <w:rFonts w:eastAsia="Calibri"/>
          <w:lang w:eastAsia="en-US"/>
        </w:rPr>
        <w:t>Наличие в ассортименте Поставщика решений от менее 3-х производителей СИЗ от падения с высоты. (Сертификаты о дистрибьюторстве).</w:t>
      </w:r>
    </w:p>
    <w:p w14:paraId="63515409" w14:textId="57A36ACF" w:rsidR="006A282C" w:rsidRPr="0059719F" w:rsidRDefault="006A282C" w:rsidP="006A282C">
      <w:pPr>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документы, включающие в себя </w:t>
      </w:r>
      <w:r w:rsidR="00F64DBF" w:rsidRPr="008A7B67">
        <w:rPr>
          <w:b/>
        </w:rPr>
        <w:t>информацию о цене заявки участника закупки должны быть включены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r w:rsidRPr="008A7B67">
        <w:lastRenderedPageBreak/>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несоответствующими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lastRenderedPageBreak/>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непревышения ценового предложения участника начальной (максимальной) цены договора/цены лота, непревышения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котировок в которой содержатся наименьшее ценовое предложение, присваивается первый номер. </w:t>
      </w:r>
      <w:r w:rsidR="008A7B67" w:rsidRPr="008A7B67">
        <w:t xml:space="preserve">При этом,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случае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lastRenderedPageBreak/>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040CD8">
        <w:t>извещении</w:t>
      </w:r>
      <w:r w:rsidRPr="00040CD8">
        <w:t xml:space="preserve"> о закупке или предоставил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r w:rsidRPr="00040CD8">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r w:rsidRPr="00040CD8">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w:t>
      </w:r>
      <w:r w:rsidRPr="00040CD8">
        <w:lastRenderedPageBreak/>
        <w:t>перемена поставщика (исполнителя, подрядчика) при исполнении договора не является основанием для расторжения договора.</w:t>
      </w:r>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0"/>
          <w:footerReference w:type="default" r:id="rId11"/>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 и конкретные показатели которого соответствуют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Настоящая заявка имеет правовой статус оферты и действует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соответствии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(фамилия, имя, отчество подписавшего,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r w:rsidRPr="003823C7">
        <w:rPr>
          <w:b/>
          <w:i/>
        </w:rPr>
        <w:t>(указывается</w:t>
      </w:r>
      <w:r w:rsidRPr="003823C7">
        <w:t xml:space="preserve"> </w:t>
      </w:r>
      <w:r w:rsidRPr="003823C7">
        <w:rPr>
          <w:b/>
          <w:i/>
        </w:rPr>
        <w:t>полное наименование участника закупочной процедуры</w:t>
      </w:r>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r w:rsidRPr="003823C7">
        <w:rPr>
          <w:b/>
          <w:i/>
        </w:rPr>
        <w:t>(указывается Ф.И.О.,</w:t>
      </w:r>
      <w:r w:rsidRPr="003823C7">
        <w:rPr>
          <w:b/>
          <w:bCs/>
          <w:i/>
          <w:iCs/>
        </w:rPr>
        <w:t xml:space="preserve"> адрес, номер основного документа, удостоверяющего его личность,</w:t>
      </w:r>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r w:rsidRPr="003823C7">
        <w:rPr>
          <w:b/>
          <w:i/>
        </w:rPr>
        <w:t>действующего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«Россети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 xml:space="preserve">г. Пятигорск, ул. Подстанционная дом 13 А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«Чеченэнерго»</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 xml:space="preserve">а также связанных с ними иных поручений Правительства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r w:rsidRPr="003823C7">
        <w:t>(Подпись субъекта персо</w:t>
      </w:r>
      <w:r>
        <w:t xml:space="preserve">нальных данных/                </w:t>
      </w:r>
      <w:r w:rsidRPr="003823C7">
        <w:t>(Ф.И.О. и должность подписавшего*)</w:t>
      </w:r>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14:paraId="66D60538" w14:textId="77777777" w:rsidR="00002EAC" w:rsidRDefault="00002EAC" w:rsidP="00002EAC">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 xml:space="preserve">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2" o:title=""/>
          </v:shape>
          <o:OLEObject Type="Embed" ProgID="AcroExch.Document.DC" ShapeID="_x0000_i1025" DrawAspect="Content" ObjectID="_1685520895" r:id="rId13"/>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п/п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 ___ (_______)</w:t>
      </w:r>
      <w:r w:rsidR="00C675A7">
        <w:rPr>
          <w:sz w:val="24"/>
        </w:rPr>
        <w:t xml:space="preserve"> </w:t>
      </w:r>
      <w:r w:rsidR="00BD4042">
        <w:rPr>
          <w:sz w:val="24"/>
        </w:rPr>
        <w:t xml:space="preserve"> </w:t>
      </w:r>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42765B5A" w:rsidR="00767C02" w:rsidRPr="001F5A96" w:rsidRDefault="00767C02" w:rsidP="00767C02">
      <w:pPr>
        <w:jc w:val="both"/>
        <w:rPr>
          <w:sz w:val="28"/>
          <w:szCs w:val="28"/>
        </w:rPr>
      </w:pPr>
      <w:r w:rsidRPr="008E6962">
        <w:t xml:space="preserve">3. Срок </w:t>
      </w:r>
      <w:r w:rsidRPr="006928AD">
        <w:t>поставки товаров/пр</w:t>
      </w:r>
      <w:r w:rsidR="00A63B8B">
        <w:t xml:space="preserve">одукции </w:t>
      </w:r>
      <w:r w:rsidR="00324986">
        <w:t xml:space="preserve"> </w:t>
      </w:r>
      <w:r w:rsidR="00A63B8B">
        <w:t>(__________)</w:t>
      </w:r>
      <w:r w:rsidR="00324986">
        <w:t xml:space="preserve"> </w:t>
      </w:r>
      <w:r w:rsidR="00C675A7">
        <w:t xml:space="preserve"> </w:t>
      </w:r>
      <w:r w:rsidR="00D57A6F">
        <w:t xml:space="preserve">рабочих </w:t>
      </w:r>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 (_______)</w:t>
      </w:r>
      <w:r w:rsidR="00D9566E">
        <w:t xml:space="preserve">  </w:t>
      </w:r>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519B598C" w14:textId="77777777" w:rsidR="00D57A6F" w:rsidRDefault="00D57A6F" w:rsidP="00002EAC">
      <w:pPr>
        <w:keepNext/>
        <w:keepLines/>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п.п. ТТ:</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r w:rsidRPr="00847FE6">
        <w:rPr>
          <w:b/>
          <w:color w:val="FF0000"/>
          <w:highlight w:val="yellow"/>
        </w:rPr>
        <w:t xml:space="preserve">(указанная форма подгружается ТОЛЬКО  в разделе «Ценовое предложение», </w:t>
      </w:r>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______ от __.__.____, а также прилагаемую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п/п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 xml:space="preserve">ечение ___ (_______) </w:t>
      </w:r>
      <w:r w:rsidR="0096652B">
        <w:rPr>
          <w:sz w:val="24"/>
        </w:rPr>
        <w:t xml:space="preserve"> </w:t>
      </w:r>
      <w:r>
        <w:rPr>
          <w:sz w:val="24"/>
        </w:rPr>
        <w:t xml:space="preserve"> </w:t>
      </w:r>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4FC71F22" w:rsidR="00767C02" w:rsidRPr="008E6962" w:rsidRDefault="00767C02" w:rsidP="00767C02">
      <w:pPr>
        <w:keepNext/>
        <w:keepLines/>
        <w:jc w:val="both"/>
      </w:pPr>
      <w:r>
        <w:t>3</w:t>
      </w:r>
      <w:r w:rsidRPr="008E6962">
        <w:t xml:space="preserve">. Срок поставки товаров/продукции (__________)  </w:t>
      </w:r>
      <w:r w:rsidR="00C675A7">
        <w:t xml:space="preserve"> </w:t>
      </w:r>
      <w:r w:rsidR="00D57A6F">
        <w:t xml:space="preserve">рабочих </w:t>
      </w:r>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xml:space="preserve">. Условия возврата при поставке некачественных товаров/продукции  – Поставщик обязуется в течение (_______)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r w:rsidRPr="006A251D">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r w:rsidRPr="006A251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0096652B">
        <w:t>Россети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r w:rsidR="0096652B">
        <w:rPr>
          <w:color w:val="000000"/>
        </w:rPr>
        <w:t>Россети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«Россети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п/п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(фамилия, имя, отчество подписавшего,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6595CC70" w14:textId="77777777" w:rsidR="00963832" w:rsidRPr="00AC458E" w:rsidRDefault="00963832" w:rsidP="00963832">
      <w:pPr>
        <w:numPr>
          <w:ilvl w:val="0"/>
          <w:numId w:val="42"/>
        </w:numPr>
        <w:tabs>
          <w:tab w:val="left" w:pos="1080"/>
        </w:tabs>
        <w:jc w:val="both"/>
      </w:pPr>
      <w:r w:rsidRPr="00AC458E">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4B5986BC" w14:textId="3F1A6345" w:rsidR="003C5182" w:rsidRDefault="003C5182" w:rsidP="00EB5D96">
      <w:pPr>
        <w:keepNext/>
        <w:keepLines/>
        <w:tabs>
          <w:tab w:val="left" w:pos="2910"/>
          <w:tab w:val="left" w:pos="8760"/>
          <w:tab w:val="right" w:pos="9780"/>
        </w:tabs>
      </w:pPr>
      <w:r w:rsidRPr="003C5182">
        <w:rPr>
          <w:b/>
        </w:rPr>
        <w:lastRenderedPageBreak/>
        <w:tab/>
      </w:r>
      <w:r w:rsidRPr="003C5182">
        <w:rPr>
          <w:b/>
        </w:rPr>
        <w:tab/>
      </w: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3A99D" w14:textId="77777777" w:rsidR="00407ECF" w:rsidRDefault="00407ECF">
      <w:r>
        <w:separator/>
      </w:r>
    </w:p>
  </w:endnote>
  <w:endnote w:type="continuationSeparator" w:id="0">
    <w:p w14:paraId="58408109" w14:textId="77777777" w:rsidR="00407ECF" w:rsidRDefault="0040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C84D9" w14:textId="77777777" w:rsidR="000A15BD" w:rsidRDefault="000A15BD"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0A15BD" w:rsidRDefault="000A15BD" w:rsidP="0021365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930AF" w14:textId="269A4A7F" w:rsidR="000A15BD" w:rsidRDefault="000A15BD"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84913">
      <w:rPr>
        <w:rStyle w:val="ab"/>
        <w:noProof/>
      </w:rPr>
      <w:t>4</w:t>
    </w:r>
    <w:r>
      <w:rPr>
        <w:rStyle w:val="ab"/>
      </w:rPr>
      <w:fldChar w:fldCharType="end"/>
    </w:r>
  </w:p>
  <w:p w14:paraId="3A5D76AD" w14:textId="77777777" w:rsidR="000A15BD" w:rsidRDefault="000A15BD" w:rsidP="004954B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C768E" w14:textId="77777777" w:rsidR="00407ECF" w:rsidRDefault="00407ECF">
      <w:r>
        <w:separator/>
      </w:r>
    </w:p>
  </w:footnote>
  <w:footnote w:type="continuationSeparator" w:id="0">
    <w:p w14:paraId="718BC1E0" w14:textId="77777777" w:rsidR="00407ECF" w:rsidRDefault="00407ECF">
      <w:r>
        <w:continuationSeparator/>
      </w:r>
    </w:p>
  </w:footnote>
  <w:footnote w:id="1">
    <w:p w14:paraId="5F77E43D" w14:textId="37AF4FC8" w:rsidR="000A15BD" w:rsidRPr="00B3357C" w:rsidRDefault="000A15BD" w:rsidP="005C4E72">
      <w:pPr>
        <w:pStyle w:val="afc"/>
        <w:ind w:firstLine="0"/>
      </w:pPr>
    </w:p>
  </w:footnote>
  <w:footnote w:id="2">
    <w:p w14:paraId="205C5A34" w14:textId="77777777" w:rsidR="000A15BD" w:rsidRDefault="000A15BD"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3">
    <w:p w14:paraId="11FD3983" w14:textId="77777777" w:rsidR="000A15BD" w:rsidRDefault="000A15BD"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4">
    <w:p w14:paraId="3A94080B" w14:textId="77777777" w:rsidR="000A15BD" w:rsidRDefault="000A15BD"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5">
    <w:p w14:paraId="5C056357" w14:textId="77777777" w:rsidR="000A15BD" w:rsidRDefault="000A15BD" w:rsidP="00002EAC">
      <w:pPr>
        <w:pStyle w:val="afc"/>
      </w:pPr>
      <w:r w:rsidRPr="00183D35">
        <w:rPr>
          <w:rStyle w:val="afe"/>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C12E38"/>
    <w:multiLevelType w:val="hybridMultilevel"/>
    <w:tmpl w:val="B948B488"/>
    <w:lvl w:ilvl="0" w:tplc="085AB628">
      <w:start w:val="1"/>
      <w:numFmt w:val="bullet"/>
      <w:lvlText w:val=""/>
      <w:lvlJc w:val="left"/>
      <w:pPr>
        <w:tabs>
          <w:tab w:val="num" w:pos="2149"/>
        </w:tabs>
        <w:ind w:left="214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6" w15:restartNumberingAfterBreak="0">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15:restartNumberingAfterBreak="0">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7A3896"/>
    <w:multiLevelType w:val="hybridMultilevel"/>
    <w:tmpl w:val="357AF240"/>
    <w:lvl w:ilvl="0" w:tplc="102E30F0">
      <w:start w:val="1"/>
      <w:numFmt w:val="decimal"/>
      <w:lvlText w:val="%1."/>
      <w:lvlJc w:val="left"/>
      <w:pPr>
        <w:ind w:left="360" w:hanging="360"/>
      </w:pPr>
      <w:rPr>
        <w:rFonts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9" w15:restartNumberingAfterBreak="0">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4" w15:restartNumberingAfterBreak="0">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8"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7"/>
  </w:num>
  <w:num w:numId="3">
    <w:abstractNumId w:val="27"/>
  </w:num>
  <w:num w:numId="4">
    <w:abstractNumId w:val="40"/>
  </w:num>
  <w:num w:numId="5">
    <w:abstractNumId w:val="24"/>
  </w:num>
  <w:num w:numId="6">
    <w:abstractNumId w:val="11"/>
  </w:num>
  <w:num w:numId="7">
    <w:abstractNumId w:val="14"/>
  </w:num>
  <w:num w:numId="8">
    <w:abstractNumId w:val="38"/>
  </w:num>
  <w:num w:numId="9">
    <w:abstractNumId w:val="34"/>
  </w:num>
  <w:num w:numId="10">
    <w:abstractNumId w:val="28"/>
  </w:num>
  <w:num w:numId="11">
    <w:abstractNumId w:val="8"/>
  </w:num>
  <w:num w:numId="12">
    <w:abstractNumId w:val="1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2"/>
  </w:num>
  <w:num w:numId="20">
    <w:abstractNumId w:val="23"/>
  </w:num>
  <w:num w:numId="21">
    <w:abstractNumId w:val="21"/>
  </w:num>
  <w:num w:numId="22">
    <w:abstractNumId w:val="32"/>
  </w:num>
  <w:num w:numId="23">
    <w:abstractNumId w:val="4"/>
  </w:num>
  <w:num w:numId="24">
    <w:abstractNumId w:val="16"/>
  </w:num>
  <w:num w:numId="25">
    <w:abstractNumId w:val="10"/>
  </w:num>
  <w:num w:numId="26">
    <w:abstractNumId w:val="39"/>
  </w:num>
  <w:num w:numId="27">
    <w:abstractNumId w:val="17"/>
  </w:num>
  <w:num w:numId="28">
    <w:abstractNumId w:val="3"/>
  </w:num>
  <w:num w:numId="29">
    <w:abstractNumId w:val="30"/>
  </w:num>
  <w:num w:numId="30">
    <w:abstractNumId w:val="41"/>
  </w:num>
  <w:num w:numId="31">
    <w:abstractNumId w:val="29"/>
  </w:num>
  <w:num w:numId="32">
    <w:abstractNumId w:val="20"/>
  </w:num>
  <w:num w:numId="33">
    <w:abstractNumId w:val="1"/>
  </w:num>
  <w:num w:numId="34">
    <w:abstractNumId w:val="9"/>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
  </w:num>
  <w:num w:numId="39">
    <w:abstractNumId w:val="12"/>
  </w:num>
  <w:num w:numId="40">
    <w:abstractNumId w:val="31"/>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3"/>
  </w:num>
  <w:num w:numId="43">
    <w:abstractNumId w:val="36"/>
  </w:num>
  <w:num w:numId="44">
    <w:abstractNumId w:val="15"/>
  </w:num>
  <w:num w:numId="45">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5BD"/>
    <w:rsid w:val="000A1C69"/>
    <w:rsid w:val="000A4772"/>
    <w:rsid w:val="000B2679"/>
    <w:rsid w:val="000B3FFA"/>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305"/>
    <w:rsid w:val="0017766C"/>
    <w:rsid w:val="00177890"/>
    <w:rsid w:val="00177BD7"/>
    <w:rsid w:val="0018177B"/>
    <w:rsid w:val="00181D53"/>
    <w:rsid w:val="00182CB8"/>
    <w:rsid w:val="00184121"/>
    <w:rsid w:val="0018467B"/>
    <w:rsid w:val="0018477E"/>
    <w:rsid w:val="00184913"/>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394"/>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DDB"/>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413"/>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07ECF"/>
    <w:rsid w:val="00412443"/>
    <w:rsid w:val="00414285"/>
    <w:rsid w:val="00414F4D"/>
    <w:rsid w:val="00415C2E"/>
    <w:rsid w:val="004176C5"/>
    <w:rsid w:val="00420BAC"/>
    <w:rsid w:val="0042129D"/>
    <w:rsid w:val="0042200A"/>
    <w:rsid w:val="00423775"/>
    <w:rsid w:val="00424640"/>
    <w:rsid w:val="00424F46"/>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6332"/>
    <w:rsid w:val="004D73C6"/>
    <w:rsid w:val="004E0621"/>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126"/>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2CBA"/>
    <w:rsid w:val="005E484E"/>
    <w:rsid w:val="005E5DBA"/>
    <w:rsid w:val="005E797B"/>
    <w:rsid w:val="005F0C08"/>
    <w:rsid w:val="005F141C"/>
    <w:rsid w:val="005F3990"/>
    <w:rsid w:val="00603E2A"/>
    <w:rsid w:val="0060415D"/>
    <w:rsid w:val="00612202"/>
    <w:rsid w:val="006123D5"/>
    <w:rsid w:val="00614A58"/>
    <w:rsid w:val="00614AB1"/>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282C"/>
    <w:rsid w:val="006A7F0E"/>
    <w:rsid w:val="006B15C9"/>
    <w:rsid w:val="006B3ADC"/>
    <w:rsid w:val="006B5685"/>
    <w:rsid w:val="006B67D7"/>
    <w:rsid w:val="006B7A9A"/>
    <w:rsid w:val="006C1505"/>
    <w:rsid w:val="006C1E69"/>
    <w:rsid w:val="006C24E3"/>
    <w:rsid w:val="006C30A5"/>
    <w:rsid w:val="006C38AF"/>
    <w:rsid w:val="006C450C"/>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E66"/>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381"/>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69E"/>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1B3C"/>
    <w:rsid w:val="00983901"/>
    <w:rsid w:val="00983A9C"/>
    <w:rsid w:val="00983BA7"/>
    <w:rsid w:val="00985D5B"/>
    <w:rsid w:val="00986205"/>
    <w:rsid w:val="0099184B"/>
    <w:rsid w:val="009918B4"/>
    <w:rsid w:val="00991B18"/>
    <w:rsid w:val="00992389"/>
    <w:rsid w:val="00993AD2"/>
    <w:rsid w:val="0099551F"/>
    <w:rsid w:val="009978F8"/>
    <w:rsid w:val="00997F9C"/>
    <w:rsid w:val="009A0702"/>
    <w:rsid w:val="009A0FDB"/>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1F74"/>
    <w:rsid w:val="009C3EB6"/>
    <w:rsid w:val="009C498D"/>
    <w:rsid w:val="009C52DE"/>
    <w:rsid w:val="009C7882"/>
    <w:rsid w:val="009D0F82"/>
    <w:rsid w:val="009D20AB"/>
    <w:rsid w:val="009D4DC8"/>
    <w:rsid w:val="009D7C37"/>
    <w:rsid w:val="009E1A31"/>
    <w:rsid w:val="009E1D81"/>
    <w:rsid w:val="009E2913"/>
    <w:rsid w:val="009E4E35"/>
    <w:rsid w:val="009E6109"/>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AF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4BB8"/>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130A"/>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57A6F"/>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471E"/>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5D96"/>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15:docId w15:val="{C2B9207E-C106-498A-AA8E-2B7C1EC1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sp.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7FE4-8743-4969-A8D1-FF4DC937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12877</Words>
  <Characters>73400</Characters>
  <Application>Microsoft Office Word</Application>
  <DocSecurity>0</DocSecurity>
  <Lines>611</Lines>
  <Paragraphs>172</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«08» июня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86105</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Федоренко Мария Викторовна</cp:lastModifiedBy>
  <cp:revision>12</cp:revision>
  <cp:lastPrinted>2017-04-28T12:59:00Z</cp:lastPrinted>
  <dcterms:created xsi:type="dcterms:W3CDTF">2021-06-07T12:36:00Z</dcterms:created>
  <dcterms:modified xsi:type="dcterms:W3CDTF">2021-06-18T08:28:00Z</dcterms:modified>
</cp:coreProperties>
</file>